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C708A1"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Default="00832CC9" w:rsidP="00865C91"/>
    <w:p w:rsidR="00865C91" w:rsidRPr="00F72A1E" w:rsidRDefault="00865C91" w:rsidP="00865C91"/>
    <w:p w:rsidR="00FC4450" w:rsidRPr="00FC4450" w:rsidRDefault="00FC4450" w:rsidP="00FC4450">
      <w:pPr>
        <w:jc w:val="center"/>
        <w:rPr>
          <w:b/>
          <w:color w:val="000000"/>
          <w:lang w:eastAsia="lt-LT"/>
        </w:rPr>
      </w:pPr>
      <w:r w:rsidRPr="00FC4450">
        <w:rPr>
          <w:b/>
          <w:color w:val="000000"/>
          <w:lang w:eastAsia="lt-LT"/>
        </w:rPr>
        <w:t>KLAIPĖD</w:t>
      </w:r>
      <w:r w:rsidR="007A24A6">
        <w:rPr>
          <w:b/>
          <w:color w:val="000000"/>
          <w:lang w:eastAsia="lt-LT"/>
        </w:rPr>
        <w:t>OS</w:t>
      </w:r>
      <w:r w:rsidR="00E3308E">
        <w:rPr>
          <w:b/>
          <w:color w:val="000000"/>
          <w:lang w:eastAsia="lt-LT"/>
        </w:rPr>
        <w:t xml:space="preserve"> LOPŠELIO-DARŽELIO „VERSMĖ</w:t>
      </w:r>
      <w:r w:rsidRPr="00FC4450">
        <w:rPr>
          <w:b/>
          <w:color w:val="000000"/>
          <w:lang w:eastAsia="lt-LT"/>
        </w:rPr>
        <w:t>“</w:t>
      </w:r>
    </w:p>
    <w:p w:rsidR="00FC4450" w:rsidRPr="00FC4450" w:rsidRDefault="00FC4450" w:rsidP="00FC4450">
      <w:pPr>
        <w:jc w:val="center"/>
        <w:rPr>
          <w:color w:val="000000"/>
          <w:lang w:eastAsia="lt-LT"/>
        </w:rPr>
      </w:pPr>
      <w:r w:rsidRPr="00FC4450">
        <w:rPr>
          <w:b/>
          <w:bCs/>
          <w:color w:val="000000"/>
          <w:lang w:eastAsia="lt-LT"/>
        </w:rPr>
        <w:t>2022 METŲ VEIKLOS ATASKAITA</w:t>
      </w:r>
    </w:p>
    <w:p w:rsidR="00832CC9" w:rsidRPr="00FC4450" w:rsidRDefault="00FC4450" w:rsidP="00FC4450">
      <w:pPr>
        <w:jc w:val="center"/>
        <w:rPr>
          <w:color w:val="000000"/>
          <w:lang w:eastAsia="lt-LT"/>
        </w:rPr>
      </w:pPr>
      <w:r w:rsidRPr="00FC4450">
        <w:rPr>
          <w:color w:val="000000"/>
          <w:lang w:eastAsia="lt-LT"/>
        </w:rPr>
        <w:t> </w:t>
      </w:r>
    </w:p>
    <w:p w:rsidR="00E3308E" w:rsidRDefault="00E3308E" w:rsidP="00E3308E">
      <w:pPr>
        <w:tabs>
          <w:tab w:val="left" w:pos="993"/>
        </w:tabs>
        <w:ind w:firstLine="567"/>
        <w:jc w:val="both"/>
        <w:rPr>
          <w:lang w:eastAsia="lt-LT"/>
        </w:rPr>
      </w:pPr>
      <w:r>
        <w:rPr>
          <w:lang w:eastAsia="lt-LT"/>
        </w:rPr>
        <w:t>Klaipėdos lopšelio-darželio „Versmė“ (toliau – Įstaiga) 2022 metais veikla organizuota vadovaujantis 2022 metų veiklos planu, kurio prioritetai susiję su 2022–2024 metų strateginiame plane numatytomis veiklos kryptimis – pedagogų profesinio skaitmeninio raštingumo, naudojant informacines komunikacines technologijas, gilinimas, pritaikant skaitmeninį ugdymo turinį įvairių gebėjimų vaikams; veiksmingos švietimo pagalbos vaikams užtikrinimas, taikant individualias vaikų pažangos matavimo sistemas bei savivaldos, socialinės partnerystės ir vadovų lydery</w:t>
      </w:r>
      <w:r>
        <w:t>stės darnos kūrimas, užtikrinant ugdymo turinio ir vadybos kokybę.</w:t>
      </w:r>
    </w:p>
    <w:p w:rsidR="00E3308E" w:rsidRDefault="00E3308E" w:rsidP="00E3308E">
      <w:pPr>
        <w:ind w:left="5" w:firstLine="567"/>
        <w:jc w:val="both"/>
        <w:rPr>
          <w:lang w:eastAsia="lt-LT"/>
        </w:rPr>
      </w:pPr>
      <w:r>
        <w:rPr>
          <w:lang w:eastAsia="lt-LT"/>
        </w:rPr>
        <w:t xml:space="preserve">Įstaigoje 2022 m. buvo sukomplektuotos 7 ikimokyklinio ir 3 priešmokyklinio ugdymo grupės, kurias lankė 100 vaikų. Visiems ugdytiniams Klaipėdos pedagoginėje psichologinėje tarnyboje nustatyti dideli ir labai dideli specialieji ugdymosi poreikiai dėl </w:t>
      </w:r>
      <w:r>
        <w:t xml:space="preserve">įvairiapusių raidos sutrikimų (vaikystės autizmas), mokymosi sunkumų dėl sulėtėjusios raidos, elgesio ir emocijų sutrikimų ir skiriama švietimo pagalba, kurios įgyvendinimą Įstaigoje koordinuoja Vaiko gerovės komisija. </w:t>
      </w:r>
      <w:r>
        <w:rPr>
          <w:lang w:eastAsia="lt-LT"/>
        </w:rPr>
        <w:t>2022 metų veiklos programos įgyvendinime dalyvavo 74 darbuotojai: 37 pedagogai, 37 nepedagoginiai darbuotojai (iš jų – 13 mokytojų padėjėjų).</w:t>
      </w:r>
    </w:p>
    <w:p w:rsidR="00E3308E" w:rsidRPr="00E35CFB" w:rsidRDefault="00E3308E" w:rsidP="00E35CFB">
      <w:pPr>
        <w:ind w:firstLine="567"/>
        <w:jc w:val="both"/>
        <w:rPr>
          <w:rFonts w:eastAsia="Calibri"/>
        </w:rPr>
      </w:pPr>
      <w:r>
        <w:t>Įgyvendintas pirmasis uždavinys –</w:t>
      </w:r>
      <w:r>
        <w:rPr>
          <w:lang w:eastAsia="lt-LT"/>
        </w:rPr>
        <w:t xml:space="preserve"> tobulinti pedagogų profesinį skaitmeninį raštingumą, pritaikant skaitmeninį ugdymo turinį įvairių gebėjimų vaikams. </w:t>
      </w:r>
      <w:r>
        <w:t xml:space="preserve">Visi Įstaigos darbuotojai turi galimybę prisijungti prie elektroninio dienyno „Mūsų darželis“, gauti ir dalintis informacija. Pedagogai sėkmingai naudojasi elektroniniu dienynu – teikia tėvams individualią informaciją apie vaikų veiklą, pasiekimų ir pažangos rezultatus. Prie elektroninio dienyno prisijungė 98 </w:t>
      </w:r>
      <w:r w:rsidRPr="00C708A1">
        <w:t xml:space="preserve">% </w:t>
      </w:r>
      <w:r w:rsidRPr="0015049A">
        <w:t>tėvų.</w:t>
      </w:r>
      <w:r>
        <w:t xml:space="preserve"> Pedagogai bendrauja su tėvais socialinių tinklų uždarose grupėse, dalindamiesi nuotraukomis iš veiklų, renginių darželyje. Įstaigos vaikų veiklos, renginių nuotraukos patalpinamos viešai prieinamoje </w:t>
      </w:r>
      <w:r w:rsidR="0015049A">
        <w:t xml:space="preserve">Įstaigos </w:t>
      </w:r>
      <w:r>
        <w:t>socialinėje Facebook paskyroje. 2022 m. pedagogai 104 val. tobulino skaitmeninio raštingumo kompetenciją, įgytus įgūdžius pritaikė ruošdami ugdymo priemones, rengdami praktinės veiklos pristatymus metodinių dienų ir seminarų metu. Įgyvendinant atnaujintą priešmokyklinio ugdymo programą</w:t>
      </w:r>
      <w:r w:rsidR="0015049A">
        <w:t>,</w:t>
      </w:r>
      <w:r>
        <w:t xml:space="preserve"> didesnis dėmesys </w:t>
      </w:r>
      <w:r w:rsidR="00E35CFB">
        <w:t xml:space="preserve">buvo </w:t>
      </w:r>
      <w:r w:rsidR="0015049A">
        <w:t xml:space="preserve">skiriamas </w:t>
      </w:r>
      <w:r>
        <w:t>vaikų skaitmeninės kompetencijos plėtojimui. Iš paramos lėšų įsigytas interaktyvus ekranas, kuris padeda inovatyviai perteikti ugdymo turinį, skatina vaikų motyvaciją ir gebėjimų bei įgūdžių formavimąsi. Įsigytos interaktyvios priemonės: interaktyvios „pelytės“,</w:t>
      </w:r>
      <w:r>
        <w:rPr>
          <w:shd w:val="clear" w:color="auto" w:fill="FFFFFF"/>
        </w:rPr>
        <w:t xml:space="preserve"> kurios lavina pirmuosius vaikų mokslo, technologijų, inžinerijos ir matematikos įgūdžius </w:t>
      </w:r>
      <w:r>
        <w:t>bei „p</w:t>
      </w:r>
      <w:r>
        <w:rPr>
          <w:shd w:val="clear" w:color="auto" w:fill="FFFFFF"/>
        </w:rPr>
        <w:t xml:space="preserve">apildytos realybės“ marškinėliai, kurie skatina vaikų domėjimąsi mokslu ir leidžia interaktyviai tyrinėti žmogaus kūną. </w:t>
      </w:r>
      <w:r>
        <w:t>Pedagogai tikslingai ir kūrybingai išnaudoja įsigytus planšetinius kompiuterius ir inovatyvią priemonę – interaktyvias grindis, padedančias vaikams žaismingai atlikti ugdymo užduotis.</w:t>
      </w:r>
    </w:p>
    <w:p w:rsidR="00E3308E" w:rsidRDefault="00E3308E" w:rsidP="003C2259">
      <w:pPr>
        <w:ind w:firstLine="567"/>
        <w:jc w:val="both"/>
      </w:pPr>
      <w:r>
        <w:t>Įgyvendintas antrasis uždavinys – taikyti individualias vaikų pažangos matavimo sistemas, užtikrinant veiksmingą švietimo pagalbą vaikams. Įstaigoje ugdoma 100 didelių ir labai didelių specialiųjų ugdymosi poreikių turinčių vaikų. Švietimo pagalbą teikia 10 logopedų, specialusis pedagogas, judesio korekcijos specialistas, 2 neformaliojo vaikų švietimo mokytojai, 13 mokytojų padėjėjų. Mokslo metų pradžioje, bendradarbiaujant pedagogams ir tėvams, sudaryti individualios pagalbos planai (toliau – IPP). IPP sudaromi</w:t>
      </w:r>
      <w:r w:rsidR="0015049A">
        <w:t>,</w:t>
      </w:r>
      <w:r>
        <w:t xml:space="preserve"> atsižvelgiant į vaikų gebėjimus ir </w:t>
      </w:r>
      <w:r w:rsidR="00E35CFB">
        <w:rPr>
          <w:lang w:eastAsia="lt-LT"/>
        </w:rPr>
        <w:t>Klaipėdos</w:t>
      </w:r>
      <w:r w:rsidR="00E35CFB">
        <w:t xml:space="preserve"> p</w:t>
      </w:r>
      <w:r>
        <w:t xml:space="preserve">edagoginės psichologinės tarnybos rekomendacijas. Tris </w:t>
      </w:r>
      <w:r w:rsidR="0015049A">
        <w:t xml:space="preserve">kartus </w:t>
      </w:r>
      <w:r>
        <w:t xml:space="preserve">per metus pedagogai ir tėvai individualiuose pokalbiuose aptaria vaikų gebėjimus, pasiekimus, ugdymo veiksmingumą bei numato tolesnio ugdymo uždavinius: spalio mėnesio pradžioje aptarti IPP, </w:t>
      </w:r>
      <w:r>
        <w:rPr>
          <w:lang w:eastAsia="lt-LT"/>
        </w:rPr>
        <w:t xml:space="preserve">sausio mėnesį aptarti ugdymosi pasiekimai ir sunkumai, koreguojami IPP, gegužės mėnesį įvertinami pasiekimai ir rengiamos rekomendacijos į mokyklas </w:t>
      </w:r>
      <w:r>
        <w:t>priešmokyklinio amžiaus vaikams.</w:t>
      </w:r>
      <w:r w:rsidR="003C2259">
        <w:t xml:space="preserve"> </w:t>
      </w:r>
      <w:r>
        <w:t xml:space="preserve">Palanki mokytojų, švietimo pagalbos specialistų sąveika su ugdytiniais turi lemiamą įtaką gerai vaikų savijautai ir jų </w:t>
      </w:r>
      <w:r>
        <w:lastRenderedPageBreak/>
        <w:t>įgyjamai patirčiai.</w:t>
      </w:r>
      <w:r>
        <w:rPr>
          <w:color w:val="FF0000"/>
        </w:rPr>
        <w:t xml:space="preserve"> </w:t>
      </w:r>
      <w:r>
        <w:t>Mokslo metų pabaigoje 96 % vaikų pasiekė žymią individualią pažangą (pasiekimai įvertinti gerai ir labai gerai – 76 % vaikų, patenkinamai – 21 %, pasiekimai ir pažanga nežymūs – 4 %).</w:t>
      </w:r>
      <w:r>
        <w:rPr>
          <w:color w:val="FF0000"/>
        </w:rPr>
        <w:t xml:space="preserve"> </w:t>
      </w:r>
      <w:r>
        <w:t>Trims ugdytiniams</w:t>
      </w:r>
      <w:r>
        <w:rPr>
          <w:color w:val="FF0000"/>
        </w:rPr>
        <w:t xml:space="preserve"> </w:t>
      </w:r>
      <w:r>
        <w:rPr>
          <w:lang w:eastAsia="lt-LT"/>
        </w:rPr>
        <w:t>koordinuotai teikiama kompleksinė pagalba, bendradarbiaujant su BĮ Klaipėdos miesto šeimos ir vaiko gerovės centru.</w:t>
      </w:r>
    </w:p>
    <w:p w:rsidR="00E3308E" w:rsidRPr="003C2259" w:rsidRDefault="00E3308E" w:rsidP="003C2259">
      <w:pPr>
        <w:ind w:firstLine="567"/>
        <w:jc w:val="both"/>
        <w:rPr>
          <w:rFonts w:eastAsia="Calibri"/>
        </w:rPr>
      </w:pPr>
      <w:r>
        <w:t>Treči</w:t>
      </w:r>
      <w:r w:rsidR="00DC08C4">
        <w:t>asis</w:t>
      </w:r>
      <w:r>
        <w:t xml:space="preserve"> uždavin</w:t>
      </w:r>
      <w:r w:rsidR="00DC08C4">
        <w:t>ys</w:t>
      </w:r>
      <w:r>
        <w:t xml:space="preserve"> – </w:t>
      </w:r>
      <w:r>
        <w:rPr>
          <w:lang w:eastAsia="lt-LT"/>
        </w:rPr>
        <w:t>siekti savivaldos, socialinės partnerystės ir vadovų lyderystės darnos.</w:t>
      </w:r>
      <w:r>
        <w:rPr>
          <w:color w:val="95B3D7"/>
          <w:sz w:val="16"/>
          <w:szCs w:val="16"/>
        </w:rPr>
        <w:t xml:space="preserve"> </w:t>
      </w:r>
      <w:r>
        <w:t>Įstaigos savivaldoje dalyvauja 39 darbuotojai (apie 53 % visų darbuotojų). Inovatyvia ir unikalia profesinio darbo patirtimi respublikos ir miesto metodiniuose renginiuose dalinosi 18 (50 %) pedagogų.</w:t>
      </w:r>
      <w:r>
        <w:rPr>
          <w:color w:val="95B3D7"/>
        </w:rPr>
        <w:t xml:space="preserve"> </w:t>
      </w:r>
      <w:r>
        <w:t>Pristatyti 9 pranešimai respublikiniuose metodiniuose renginiuose, 31 – miesto metodiniuose renginiuose. Parengtos 3 kvalifikacijos tobulinimo programos, akredituotos Klaipėdos pedagogų švietimo ir kultūros centre</w:t>
      </w:r>
      <w:r w:rsidR="00DC08C4">
        <w:t>,</w:t>
      </w:r>
      <w:r>
        <w:t xml:space="preserve"> ir organizuoti 6 seminarai Klaipėdos miesto ir rajono pedagogams. Parengtos 4 programos ir organizuotos metodinės dienos su socialiniais partneriais (su Mažeikių lopšeliu-darželiu „Bitutė“, Klaipėdos lopšeliais-darželiais „Puriena“, „Žilvitis“, „Klevelis“, „Volungėlė“). Metodinėse dienose pedagogai dalinosi savo gerąja patirtimi ir įžvalgomis apie įtraukųjį ugdymą, apie bendradarbiavimo svarbą ir informacinių kompiuterinių technologijų taikymą ugdant individuali</w:t>
      </w:r>
      <w:r w:rsidR="00DC08C4">
        <w:t>us</w:t>
      </w:r>
      <w:r>
        <w:t xml:space="preserve"> </w:t>
      </w:r>
      <w:r w:rsidR="00DC08C4">
        <w:t xml:space="preserve">vaikų </w:t>
      </w:r>
      <w:r>
        <w:t>gebėjim</w:t>
      </w:r>
      <w:r w:rsidR="00DC08C4">
        <w:t>us.</w:t>
      </w:r>
      <w:r w:rsidR="003C2259">
        <w:rPr>
          <w:rFonts w:eastAsia="Calibri"/>
        </w:rPr>
        <w:t xml:space="preserve"> </w:t>
      </w:r>
      <w:r>
        <w:t>Įgyvendintas „Erasmus+“ (2020-1-LT 01-KA101-077721/2) projektas „Inkliuzinės metodologijos klasėje“. 2022 metų gegužės 1–8 dienomis 8 pedagogai dalyvavo projekto mobilumo vizite Pedagogų švietimo centre „ESMOVIA“ Valensijoje (Ispanija), susipažino su įtraukiojo ugdymo organizavimu Ispanijos švietimo įstaigose bei dalinosi įtraukiojo ugdymo praktika Lietuvoje. Įgyta patirtimi ir žiniomis projekto dalyviai dalinosi miesto ikimokyklinio ugdymo pedagogų ir vadovų renginiuose, paskelbė straipsnį „Švietimo naujienose“ bei e-Twinning platformoje. Įsijungta į elektroninę suaugusiųjų mokymosi platformą Europoje „EPALE“.</w:t>
      </w:r>
      <w:r w:rsidR="003C2259">
        <w:rPr>
          <w:rFonts w:eastAsia="Calibri"/>
        </w:rPr>
        <w:t xml:space="preserve"> </w:t>
      </w:r>
      <w:r>
        <w:t>Organizuotas ir įvykdytas respublikinis švietimo pagalbos specialistų ir mokytojų projektas „Individuali ugdymo(si) erdvė vaikui, turinčiam autizmo spektro sutrikimą“,</w:t>
      </w:r>
      <w:r>
        <w:rPr>
          <w:color w:val="95B3D7"/>
        </w:rPr>
        <w:t xml:space="preserve"> </w:t>
      </w:r>
      <w:r>
        <w:t>kuriame dalyvavę</w:t>
      </w:r>
      <w:r>
        <w:rPr>
          <w:color w:val="95B3D7"/>
        </w:rPr>
        <w:t xml:space="preserve"> </w:t>
      </w:r>
      <w:r>
        <w:t>pedagogai pasidalino autizmo spektro sutrikimą turinčių vaikų ugdymo sąlygų gerinimo idėjomis.</w:t>
      </w:r>
      <w:r w:rsidR="003C2259">
        <w:rPr>
          <w:rFonts w:eastAsia="Calibri"/>
        </w:rPr>
        <w:t xml:space="preserve"> </w:t>
      </w:r>
      <w:r>
        <w:t>Toliau dalyvaujama A spektro mokyklų tinklo veikloje. Pedagogai ir mokytojo padėjėjai dalinasi pedagoginės praktikos pavyzdžiais, dalyvauja trumpalaikiuose projektuose. Ypač reikšminga pagalba teikiama mokytojo padėjėjams. Ilgalaikę praktiką Įstaigoje atliko Klaipėdos Ernesto Galvanausko profesinio mokymo centro ir Vilniaus universiteto Šiaulių akademijos studentai.</w:t>
      </w:r>
      <w:r w:rsidR="003C2259">
        <w:rPr>
          <w:rFonts w:eastAsia="Calibri"/>
        </w:rPr>
        <w:t xml:space="preserve"> </w:t>
      </w:r>
      <w:r>
        <w:t>Pažintiniuose vizituose dalyvavo Klaipėdos universiteto Socialinių ir humanitarinių mokslo fakulteto Vaikystės pedagogikos studijų studentai.</w:t>
      </w:r>
      <w:r w:rsidR="003C2259">
        <w:rPr>
          <w:rFonts w:eastAsia="Calibri"/>
        </w:rPr>
        <w:t xml:space="preserve"> </w:t>
      </w:r>
      <w:r>
        <w:t xml:space="preserve">Akredituotose kvalifikacijos tobulinimo programose 2022 metais pedagogai išklausė 4972 akad. val. mokymus (vidutiniškai kiekvienam pedagogui tenka apie 135 akad. val.). 20 nepedagoginių darbuotojų taip pat tobulino bendrąsias ir specialiąsias kompetencijas bei dalyvavo ilgalaikiuose kursuose ir seminaruose 1162 val. </w:t>
      </w:r>
      <w:r w:rsidR="00DC08C4">
        <w:t xml:space="preserve">Įstaiga </w:t>
      </w:r>
      <w:r>
        <w:t xml:space="preserve">yra nuolat besimokanti mokykla, kurioje vyrauja nuolatinio tobulėjimo siekio atmosfera, skatinanti lyderystę. </w:t>
      </w:r>
    </w:p>
    <w:p w:rsidR="00E35CFB" w:rsidRDefault="00E3308E" w:rsidP="003C2259">
      <w:pPr>
        <w:ind w:firstLine="567"/>
        <w:jc w:val="both"/>
      </w:pPr>
      <w:r>
        <w:t>2022 m. sprendimai dėl skirtų lėšų panaudojimo buvo derinami su savivaldos institucijomis, tartasi su bendruomenės nariais. Per metus įsigyta prekių ir pirkta paslaugų už 35,2 tūkst. Eur, iš jų remonto darbams skirta 7,7 tūkst. Eur. Vasaros metu atlikti pasiruošimo mokslo metams darbai: atnaujintos 6 grupių erdvės, laiptinės siena, lauke įrengtas patyriminės veiklos kampelis, lauko teniso ir futbolo erdvės, viduje sumontuotos keturios garsą izoliuojančios durys (3,3 tūkst. Eur). Iš projekto lėšų nupirkta mobili mokomoji edukacinė STEAM lenta su papildomais priedais (1,0 tūkst. Eur). Už tikslines savivaldybės skirtas lėšas įsigyta kondencionavimo sistema, nupirkti 3 kompiuteriai.</w:t>
      </w:r>
    </w:p>
    <w:p w:rsidR="00E35CFB" w:rsidRDefault="00E3308E" w:rsidP="00E32607">
      <w:pPr>
        <w:jc w:val="both"/>
      </w:pPr>
      <w:r>
        <w:t xml:space="preserve">Įstaigos finansinė informacija: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559"/>
        <w:gridCol w:w="1560"/>
        <w:gridCol w:w="1842"/>
        <w:gridCol w:w="2268"/>
      </w:tblGrid>
      <w:tr w:rsidR="00E3308E" w:rsidTr="00AF5F68">
        <w:trPr>
          <w:trHeight w:val="7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E3308E" w:rsidRDefault="00E3308E">
            <w:pPr>
              <w:jc w:val="center"/>
              <w:rPr>
                <w:lang w:eastAsia="lt-LT"/>
              </w:rPr>
            </w:pPr>
            <w:r>
              <w:rPr>
                <w:lang w:eastAsia="lt-LT"/>
              </w:rPr>
              <w:t>Finansavimo šaltinis</w:t>
            </w:r>
          </w:p>
        </w:tc>
        <w:tc>
          <w:tcPr>
            <w:tcW w:w="4961" w:type="dxa"/>
            <w:gridSpan w:val="3"/>
            <w:tcBorders>
              <w:top w:val="single" w:sz="4" w:space="0" w:color="auto"/>
              <w:left w:val="single" w:sz="4" w:space="0" w:color="auto"/>
              <w:bottom w:val="single" w:sz="4" w:space="0" w:color="auto"/>
              <w:right w:val="single" w:sz="4" w:space="0" w:color="auto"/>
            </w:tcBorders>
            <w:vAlign w:val="center"/>
            <w:hideMark/>
          </w:tcPr>
          <w:p w:rsidR="00E3308E" w:rsidRDefault="00E3308E">
            <w:pPr>
              <w:jc w:val="center"/>
              <w:rPr>
                <w:lang w:eastAsia="lt-LT"/>
              </w:rPr>
            </w:pPr>
            <w:r>
              <w:rPr>
                <w:lang w:eastAsia="lt-LT"/>
              </w:rPr>
              <w:t>Lėšos (tūkst. eurų)</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E3308E" w:rsidRDefault="00E3308E">
            <w:pPr>
              <w:jc w:val="center"/>
              <w:rPr>
                <w:lang w:eastAsia="lt-LT"/>
              </w:rPr>
            </w:pPr>
            <w:r>
              <w:rPr>
                <w:lang w:eastAsia="lt-LT"/>
              </w:rPr>
              <w:t>Pastabos</w:t>
            </w:r>
          </w:p>
        </w:tc>
      </w:tr>
      <w:tr w:rsidR="00E3308E" w:rsidTr="00AF5F68">
        <w:trPr>
          <w:trHeight w:val="7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E3308E" w:rsidRDefault="00E3308E">
            <w:pPr>
              <w:rPr>
                <w:lang w:eastAsia="lt-LT"/>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3308E" w:rsidRDefault="00E3308E">
            <w:pPr>
              <w:jc w:val="center"/>
              <w:rPr>
                <w:lang w:eastAsia="lt-LT"/>
              </w:rPr>
            </w:pPr>
            <w:r>
              <w:rPr>
                <w:lang w:eastAsia="lt-LT"/>
              </w:rPr>
              <w:t>Planas (patikslintas)</w:t>
            </w:r>
          </w:p>
        </w:tc>
        <w:tc>
          <w:tcPr>
            <w:tcW w:w="1560" w:type="dxa"/>
            <w:tcBorders>
              <w:top w:val="single" w:sz="4" w:space="0" w:color="auto"/>
              <w:left w:val="single" w:sz="4" w:space="0" w:color="auto"/>
              <w:bottom w:val="single" w:sz="4" w:space="0" w:color="auto"/>
              <w:right w:val="single" w:sz="4" w:space="0" w:color="auto"/>
            </w:tcBorders>
            <w:vAlign w:val="center"/>
            <w:hideMark/>
          </w:tcPr>
          <w:p w:rsidR="00E3308E" w:rsidRDefault="00E3308E">
            <w:pPr>
              <w:jc w:val="center"/>
              <w:rPr>
                <w:lang w:eastAsia="lt-LT"/>
              </w:rPr>
            </w:pPr>
            <w:r>
              <w:rPr>
                <w:lang w:eastAsia="lt-LT"/>
              </w:rPr>
              <w:t>Panaudota lėšų</w:t>
            </w:r>
          </w:p>
        </w:tc>
        <w:tc>
          <w:tcPr>
            <w:tcW w:w="1842" w:type="dxa"/>
            <w:tcBorders>
              <w:top w:val="single" w:sz="4" w:space="0" w:color="auto"/>
              <w:left w:val="single" w:sz="4" w:space="0" w:color="auto"/>
              <w:bottom w:val="single" w:sz="4" w:space="0" w:color="auto"/>
              <w:right w:val="single" w:sz="4" w:space="0" w:color="auto"/>
            </w:tcBorders>
            <w:vAlign w:val="center"/>
            <w:hideMark/>
          </w:tcPr>
          <w:p w:rsidR="00E3308E" w:rsidRDefault="00E3308E">
            <w:pPr>
              <w:jc w:val="center"/>
              <w:rPr>
                <w:lang w:eastAsia="lt-LT"/>
              </w:rPr>
            </w:pPr>
            <w:r>
              <w:rPr>
                <w:lang w:eastAsia="lt-LT"/>
              </w:rPr>
              <w:t>Įvykdymas (%)</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3308E" w:rsidRDefault="00E3308E">
            <w:pPr>
              <w:rPr>
                <w:lang w:eastAsia="lt-LT"/>
              </w:rPr>
            </w:pPr>
          </w:p>
        </w:tc>
      </w:tr>
      <w:tr w:rsidR="00E3308E" w:rsidTr="00AF5F68">
        <w:trPr>
          <w:trHeight w:val="841"/>
        </w:trPr>
        <w:tc>
          <w:tcPr>
            <w:tcW w:w="2410" w:type="dxa"/>
            <w:tcBorders>
              <w:top w:val="single" w:sz="4" w:space="0" w:color="auto"/>
              <w:left w:val="single" w:sz="4" w:space="0" w:color="auto"/>
              <w:bottom w:val="single" w:sz="4" w:space="0" w:color="auto"/>
              <w:right w:val="single" w:sz="4" w:space="0" w:color="auto"/>
            </w:tcBorders>
            <w:hideMark/>
          </w:tcPr>
          <w:p w:rsidR="00E3308E" w:rsidRDefault="00E3308E">
            <w:pPr>
              <w:jc w:val="both"/>
              <w:rPr>
                <w:lang w:eastAsia="lt-LT"/>
              </w:rPr>
            </w:pPr>
            <w:r>
              <w:rPr>
                <w:lang w:eastAsia="lt-LT"/>
              </w:rPr>
              <w:t>Savivaldybės biudžetas (SB)</w:t>
            </w:r>
          </w:p>
        </w:tc>
        <w:tc>
          <w:tcPr>
            <w:tcW w:w="1559"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1003,5</w:t>
            </w:r>
          </w:p>
        </w:tc>
        <w:tc>
          <w:tcPr>
            <w:tcW w:w="1560"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996,7</w:t>
            </w:r>
          </w:p>
        </w:tc>
        <w:tc>
          <w:tcPr>
            <w:tcW w:w="1842"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99,3 %</w:t>
            </w:r>
          </w:p>
        </w:tc>
        <w:tc>
          <w:tcPr>
            <w:tcW w:w="2268" w:type="dxa"/>
            <w:tcBorders>
              <w:top w:val="single" w:sz="4" w:space="0" w:color="auto"/>
              <w:left w:val="single" w:sz="4" w:space="0" w:color="auto"/>
              <w:bottom w:val="single" w:sz="4" w:space="0" w:color="auto"/>
              <w:right w:val="single" w:sz="4" w:space="0" w:color="auto"/>
            </w:tcBorders>
            <w:hideMark/>
          </w:tcPr>
          <w:p w:rsidR="00E3308E" w:rsidRDefault="00E3308E">
            <w:pPr>
              <w:jc w:val="both"/>
              <w:rPr>
                <w:lang w:eastAsia="lt-LT"/>
              </w:rPr>
            </w:pPr>
          </w:p>
        </w:tc>
      </w:tr>
      <w:tr w:rsidR="00E3308E" w:rsidTr="00AF5F68">
        <w:trPr>
          <w:trHeight w:val="839"/>
        </w:trPr>
        <w:tc>
          <w:tcPr>
            <w:tcW w:w="2410" w:type="dxa"/>
            <w:tcBorders>
              <w:top w:val="single" w:sz="4" w:space="0" w:color="auto"/>
              <w:left w:val="single" w:sz="4" w:space="0" w:color="auto"/>
              <w:bottom w:val="single" w:sz="4" w:space="0" w:color="auto"/>
              <w:right w:val="single" w:sz="4" w:space="0" w:color="auto"/>
            </w:tcBorders>
            <w:hideMark/>
          </w:tcPr>
          <w:p w:rsidR="00E3308E" w:rsidRDefault="00E3308E">
            <w:pPr>
              <w:jc w:val="both"/>
              <w:rPr>
                <w:lang w:eastAsia="lt-LT"/>
              </w:rPr>
            </w:pPr>
            <w:r>
              <w:rPr>
                <w:lang w:eastAsia="lt-LT"/>
              </w:rPr>
              <w:lastRenderedPageBreak/>
              <w:t>Specialioji tikslinė dotacija (VB)</w:t>
            </w:r>
          </w:p>
        </w:tc>
        <w:tc>
          <w:tcPr>
            <w:tcW w:w="1559" w:type="dxa"/>
            <w:tcBorders>
              <w:top w:val="single" w:sz="4" w:space="0" w:color="auto"/>
              <w:left w:val="single" w:sz="4" w:space="0" w:color="auto"/>
              <w:bottom w:val="single" w:sz="4" w:space="0" w:color="auto"/>
              <w:right w:val="single" w:sz="4" w:space="0" w:color="auto"/>
            </w:tcBorders>
            <w:hideMark/>
          </w:tcPr>
          <w:p w:rsidR="00E3308E" w:rsidRDefault="00E3308E" w:rsidP="00AF5F68">
            <w:pPr>
              <w:jc w:val="center"/>
              <w:rPr>
                <w:lang w:eastAsia="lt-LT"/>
              </w:rPr>
            </w:pPr>
            <w:r>
              <w:rPr>
                <w:lang w:eastAsia="lt-LT"/>
              </w:rPr>
              <w:t>437,8</w:t>
            </w:r>
          </w:p>
        </w:tc>
        <w:tc>
          <w:tcPr>
            <w:tcW w:w="1560" w:type="dxa"/>
            <w:tcBorders>
              <w:top w:val="single" w:sz="4" w:space="0" w:color="auto"/>
              <w:left w:val="single" w:sz="4" w:space="0" w:color="auto"/>
              <w:bottom w:val="single" w:sz="4" w:space="0" w:color="auto"/>
              <w:right w:val="single" w:sz="4" w:space="0" w:color="auto"/>
            </w:tcBorders>
            <w:hideMark/>
          </w:tcPr>
          <w:p w:rsidR="00E3308E" w:rsidRDefault="00E3308E" w:rsidP="00AF5F68">
            <w:pPr>
              <w:jc w:val="center"/>
              <w:rPr>
                <w:lang w:eastAsia="lt-LT"/>
              </w:rPr>
            </w:pPr>
            <w:r>
              <w:rPr>
                <w:lang w:eastAsia="lt-LT"/>
              </w:rPr>
              <w:t>437,1</w:t>
            </w:r>
          </w:p>
        </w:tc>
        <w:tc>
          <w:tcPr>
            <w:tcW w:w="1842" w:type="dxa"/>
            <w:tcBorders>
              <w:top w:val="single" w:sz="4" w:space="0" w:color="auto"/>
              <w:left w:val="single" w:sz="4" w:space="0" w:color="auto"/>
              <w:bottom w:val="single" w:sz="4" w:space="0" w:color="auto"/>
              <w:right w:val="single" w:sz="4" w:space="0" w:color="auto"/>
            </w:tcBorders>
            <w:hideMark/>
          </w:tcPr>
          <w:p w:rsidR="00E3308E" w:rsidRDefault="00E3308E" w:rsidP="00AF5F68">
            <w:pPr>
              <w:jc w:val="center"/>
              <w:rPr>
                <w:lang w:eastAsia="lt-LT"/>
              </w:rPr>
            </w:pPr>
            <w:r>
              <w:rPr>
                <w:lang w:eastAsia="lt-LT"/>
              </w:rPr>
              <w:t>99,8 %</w:t>
            </w:r>
          </w:p>
        </w:tc>
        <w:tc>
          <w:tcPr>
            <w:tcW w:w="2268" w:type="dxa"/>
            <w:tcBorders>
              <w:top w:val="single" w:sz="4" w:space="0" w:color="auto"/>
              <w:left w:val="single" w:sz="4" w:space="0" w:color="auto"/>
              <w:bottom w:val="single" w:sz="4" w:space="0" w:color="auto"/>
              <w:right w:val="single" w:sz="4" w:space="0" w:color="auto"/>
            </w:tcBorders>
            <w:hideMark/>
          </w:tcPr>
          <w:p w:rsidR="00E3308E" w:rsidRDefault="00E3308E">
            <w:pPr>
              <w:jc w:val="both"/>
              <w:rPr>
                <w:lang w:eastAsia="lt-LT"/>
              </w:rPr>
            </w:pPr>
          </w:p>
        </w:tc>
      </w:tr>
      <w:tr w:rsidR="00E3308E" w:rsidTr="00AF5F68">
        <w:trPr>
          <w:trHeight w:val="1277"/>
        </w:trPr>
        <w:tc>
          <w:tcPr>
            <w:tcW w:w="2410" w:type="dxa"/>
            <w:tcBorders>
              <w:top w:val="single" w:sz="4" w:space="0" w:color="auto"/>
              <w:left w:val="single" w:sz="4" w:space="0" w:color="auto"/>
              <w:bottom w:val="single" w:sz="4" w:space="0" w:color="auto"/>
              <w:right w:val="single" w:sz="4" w:space="0" w:color="auto"/>
            </w:tcBorders>
            <w:hideMark/>
          </w:tcPr>
          <w:p w:rsidR="00E3308E" w:rsidRDefault="00E3308E" w:rsidP="003C2259">
            <w:pPr>
              <w:rPr>
                <w:lang w:eastAsia="lt-LT"/>
              </w:rPr>
            </w:pPr>
            <w:r>
              <w:rPr>
                <w:lang w:eastAsia="lt-LT"/>
              </w:rPr>
              <w:t>Įstaigos gautos pajamos (surinkta pajamų SP), iš jų:</w:t>
            </w:r>
            <w:r w:rsidR="003C2259">
              <w:rPr>
                <w:lang w:eastAsia="lt-LT"/>
              </w:rPr>
              <w:t xml:space="preserve"> </w:t>
            </w:r>
            <w:r>
              <w:rPr>
                <w:lang w:eastAsia="lt-LT"/>
              </w:rPr>
              <w:t>tėvų įmokos;</w:t>
            </w:r>
          </w:p>
          <w:p w:rsidR="00E3308E" w:rsidRDefault="00E3308E" w:rsidP="003C2259">
            <w:pPr>
              <w:rPr>
                <w:lang w:eastAsia="lt-LT"/>
              </w:rPr>
            </w:pPr>
            <w:r>
              <w:rPr>
                <w:lang w:eastAsia="lt-LT"/>
              </w:rPr>
              <w:t>nuomos paslaugos</w:t>
            </w:r>
          </w:p>
        </w:tc>
        <w:tc>
          <w:tcPr>
            <w:tcW w:w="1559" w:type="dxa"/>
            <w:tcBorders>
              <w:top w:val="single" w:sz="4" w:space="0" w:color="auto"/>
              <w:left w:val="single" w:sz="4" w:space="0" w:color="auto"/>
              <w:bottom w:val="single" w:sz="4" w:space="0" w:color="auto"/>
              <w:right w:val="single" w:sz="4" w:space="0" w:color="auto"/>
            </w:tcBorders>
          </w:tcPr>
          <w:p w:rsidR="00E3308E" w:rsidRDefault="00E3308E" w:rsidP="00AF5F68">
            <w:pPr>
              <w:jc w:val="center"/>
              <w:rPr>
                <w:lang w:eastAsia="lt-LT"/>
              </w:rPr>
            </w:pPr>
            <w:r>
              <w:rPr>
                <w:lang w:eastAsia="lt-LT"/>
              </w:rPr>
              <w:t>30,0</w:t>
            </w:r>
          </w:p>
          <w:p w:rsidR="003C2259" w:rsidRDefault="003C2259" w:rsidP="00AF5F68">
            <w:pPr>
              <w:jc w:val="center"/>
              <w:rPr>
                <w:lang w:eastAsia="lt-LT"/>
              </w:rPr>
            </w:pPr>
          </w:p>
          <w:p w:rsidR="00E3308E" w:rsidRDefault="00E3308E" w:rsidP="00AF5F68">
            <w:pPr>
              <w:jc w:val="center"/>
              <w:rPr>
                <w:lang w:eastAsia="lt-LT"/>
              </w:rPr>
            </w:pPr>
            <w:r>
              <w:rPr>
                <w:lang w:eastAsia="lt-LT"/>
              </w:rPr>
              <w:t>0,3</w:t>
            </w:r>
          </w:p>
        </w:tc>
        <w:tc>
          <w:tcPr>
            <w:tcW w:w="1560" w:type="dxa"/>
            <w:tcBorders>
              <w:top w:val="single" w:sz="4" w:space="0" w:color="auto"/>
              <w:left w:val="single" w:sz="4" w:space="0" w:color="auto"/>
              <w:bottom w:val="single" w:sz="4" w:space="0" w:color="auto"/>
              <w:right w:val="single" w:sz="4" w:space="0" w:color="auto"/>
            </w:tcBorders>
          </w:tcPr>
          <w:p w:rsidR="00E3308E" w:rsidRDefault="00E3308E" w:rsidP="00AF5F68">
            <w:pPr>
              <w:jc w:val="center"/>
              <w:rPr>
                <w:lang w:eastAsia="lt-LT"/>
              </w:rPr>
            </w:pPr>
            <w:r>
              <w:rPr>
                <w:lang w:eastAsia="lt-LT"/>
              </w:rPr>
              <w:t>19,5</w:t>
            </w:r>
          </w:p>
          <w:p w:rsidR="00E3308E" w:rsidRDefault="00E3308E" w:rsidP="00AF5F68">
            <w:pPr>
              <w:jc w:val="center"/>
              <w:rPr>
                <w:lang w:eastAsia="lt-LT"/>
              </w:rPr>
            </w:pPr>
          </w:p>
          <w:p w:rsidR="00E3308E" w:rsidRDefault="00E3308E" w:rsidP="00AF5F68">
            <w:pPr>
              <w:jc w:val="center"/>
              <w:rPr>
                <w:lang w:eastAsia="lt-LT"/>
              </w:rPr>
            </w:pPr>
            <w:r>
              <w:rPr>
                <w:lang w:eastAsia="lt-LT"/>
              </w:rPr>
              <w:t>0,2</w:t>
            </w:r>
          </w:p>
        </w:tc>
        <w:tc>
          <w:tcPr>
            <w:tcW w:w="1842" w:type="dxa"/>
            <w:tcBorders>
              <w:top w:val="single" w:sz="4" w:space="0" w:color="auto"/>
              <w:left w:val="single" w:sz="4" w:space="0" w:color="auto"/>
              <w:bottom w:val="single" w:sz="4" w:space="0" w:color="auto"/>
              <w:right w:val="single" w:sz="4" w:space="0" w:color="auto"/>
            </w:tcBorders>
          </w:tcPr>
          <w:p w:rsidR="00E3308E" w:rsidRDefault="00E3308E" w:rsidP="00AF5F68">
            <w:pPr>
              <w:jc w:val="center"/>
              <w:rPr>
                <w:lang w:eastAsia="lt-LT"/>
              </w:rPr>
            </w:pPr>
            <w:r>
              <w:rPr>
                <w:lang w:eastAsia="lt-LT"/>
              </w:rPr>
              <w:t xml:space="preserve">65 </w:t>
            </w:r>
            <w:r>
              <w:rPr>
                <w:lang w:val="en-US" w:eastAsia="lt-LT"/>
              </w:rPr>
              <w:t>%</w:t>
            </w:r>
          </w:p>
          <w:p w:rsidR="00E3308E" w:rsidRDefault="00E3308E" w:rsidP="00AF5F68">
            <w:pPr>
              <w:jc w:val="center"/>
              <w:rPr>
                <w:lang w:eastAsia="lt-LT"/>
              </w:rPr>
            </w:pPr>
          </w:p>
          <w:p w:rsidR="00E3308E" w:rsidRDefault="00E3308E" w:rsidP="00AF5F68">
            <w:pPr>
              <w:jc w:val="center"/>
              <w:rPr>
                <w:lang w:val="en-US" w:eastAsia="lt-LT"/>
              </w:rPr>
            </w:pPr>
            <w:r>
              <w:rPr>
                <w:lang w:eastAsia="lt-LT"/>
              </w:rPr>
              <w:t xml:space="preserve">66,6 </w:t>
            </w:r>
            <w:r>
              <w:rPr>
                <w:lang w:val="en-US" w:eastAsia="lt-LT"/>
              </w:rPr>
              <w:t>%</w:t>
            </w:r>
          </w:p>
        </w:tc>
        <w:tc>
          <w:tcPr>
            <w:tcW w:w="2268" w:type="dxa"/>
            <w:tcBorders>
              <w:top w:val="single" w:sz="4" w:space="0" w:color="auto"/>
              <w:left w:val="single" w:sz="4" w:space="0" w:color="auto"/>
              <w:bottom w:val="single" w:sz="4" w:space="0" w:color="auto"/>
              <w:right w:val="single" w:sz="4" w:space="0" w:color="auto"/>
            </w:tcBorders>
          </w:tcPr>
          <w:p w:rsidR="00E3308E" w:rsidRDefault="00E3308E">
            <w:pPr>
              <w:jc w:val="both"/>
              <w:rPr>
                <w:lang w:eastAsia="lt-LT"/>
              </w:rPr>
            </w:pPr>
            <w:r>
              <w:rPr>
                <w:lang w:eastAsia="lt-LT"/>
              </w:rPr>
              <w:t>Tėvų įmokos už maitinimo paslaugas.</w:t>
            </w:r>
          </w:p>
          <w:p w:rsidR="00E3308E" w:rsidRDefault="00AF5F68">
            <w:pPr>
              <w:jc w:val="both"/>
              <w:rPr>
                <w:lang w:eastAsia="lt-LT"/>
              </w:rPr>
            </w:pPr>
            <w:r>
              <w:rPr>
                <w:lang w:eastAsia="lt-LT"/>
              </w:rPr>
              <w:t>P</w:t>
            </w:r>
            <w:r w:rsidR="00E3308E">
              <w:rPr>
                <w:lang w:eastAsia="lt-LT"/>
              </w:rPr>
              <w:t xml:space="preserve">atalpų nuomos paslaugos </w:t>
            </w:r>
          </w:p>
        </w:tc>
      </w:tr>
      <w:tr w:rsidR="00E3308E" w:rsidTr="00AF5F68">
        <w:trPr>
          <w:trHeight w:val="303"/>
        </w:trPr>
        <w:tc>
          <w:tcPr>
            <w:tcW w:w="2410" w:type="dxa"/>
            <w:tcBorders>
              <w:top w:val="single" w:sz="4" w:space="0" w:color="auto"/>
              <w:left w:val="single" w:sz="4" w:space="0" w:color="auto"/>
              <w:bottom w:val="single" w:sz="4" w:space="0" w:color="auto"/>
              <w:right w:val="single" w:sz="4" w:space="0" w:color="auto"/>
            </w:tcBorders>
            <w:hideMark/>
          </w:tcPr>
          <w:p w:rsidR="00E3308E" w:rsidRDefault="00E3308E" w:rsidP="00AF5F68">
            <w:pPr>
              <w:tabs>
                <w:tab w:val="left" w:pos="390"/>
                <w:tab w:val="left" w:pos="975"/>
              </w:tabs>
              <w:ind w:right="175"/>
              <w:jc w:val="both"/>
              <w:rPr>
                <w:lang w:eastAsia="lt-LT"/>
              </w:rPr>
            </w:pPr>
            <w:r>
              <w:rPr>
                <w:lang w:eastAsia="lt-LT"/>
              </w:rPr>
              <w:t>*pajamų</w:t>
            </w:r>
            <w:r w:rsidR="00AF5F68">
              <w:rPr>
                <w:lang w:eastAsia="lt-LT"/>
              </w:rPr>
              <w:t xml:space="preserve"> </w:t>
            </w:r>
            <w:r>
              <w:rPr>
                <w:lang w:eastAsia="lt-LT"/>
              </w:rPr>
              <w:t>išlaidos</w:t>
            </w:r>
          </w:p>
        </w:tc>
        <w:tc>
          <w:tcPr>
            <w:tcW w:w="1559" w:type="dxa"/>
            <w:tcBorders>
              <w:top w:val="single" w:sz="4" w:space="0" w:color="auto"/>
              <w:left w:val="single" w:sz="4" w:space="0" w:color="auto"/>
              <w:bottom w:val="single" w:sz="4" w:space="0" w:color="auto"/>
              <w:right w:val="single" w:sz="4" w:space="0" w:color="auto"/>
            </w:tcBorders>
          </w:tcPr>
          <w:p w:rsidR="00E3308E" w:rsidRDefault="00E3308E" w:rsidP="003C2259">
            <w:pPr>
              <w:jc w:val="center"/>
              <w:rPr>
                <w:lang w:eastAsia="lt-LT"/>
              </w:rPr>
            </w:pPr>
            <w:r>
              <w:rPr>
                <w:lang w:eastAsia="lt-LT"/>
              </w:rPr>
              <w:t>32,</w:t>
            </w:r>
            <w:r w:rsidR="003C2259">
              <w:rPr>
                <w:lang w:eastAsia="lt-LT"/>
              </w:rPr>
              <w:t>4</w:t>
            </w:r>
          </w:p>
        </w:tc>
        <w:tc>
          <w:tcPr>
            <w:tcW w:w="1560" w:type="dxa"/>
            <w:tcBorders>
              <w:top w:val="single" w:sz="4" w:space="0" w:color="auto"/>
              <w:left w:val="single" w:sz="4" w:space="0" w:color="auto"/>
              <w:bottom w:val="single" w:sz="4" w:space="0" w:color="auto"/>
              <w:right w:val="single" w:sz="4" w:space="0" w:color="auto"/>
            </w:tcBorders>
          </w:tcPr>
          <w:p w:rsidR="00E3308E" w:rsidRDefault="00AF5F68" w:rsidP="003C2259">
            <w:pPr>
              <w:jc w:val="center"/>
              <w:rPr>
                <w:lang w:eastAsia="lt-LT"/>
              </w:rPr>
            </w:pPr>
            <w:r>
              <w:rPr>
                <w:lang w:eastAsia="lt-LT"/>
              </w:rPr>
              <w:t>–</w:t>
            </w:r>
          </w:p>
        </w:tc>
        <w:tc>
          <w:tcPr>
            <w:tcW w:w="1842" w:type="dxa"/>
            <w:tcBorders>
              <w:top w:val="single" w:sz="4" w:space="0" w:color="auto"/>
              <w:left w:val="single" w:sz="4" w:space="0" w:color="auto"/>
              <w:bottom w:val="single" w:sz="4" w:space="0" w:color="auto"/>
              <w:right w:val="single" w:sz="4" w:space="0" w:color="auto"/>
            </w:tcBorders>
          </w:tcPr>
          <w:p w:rsidR="00E3308E" w:rsidRDefault="00E3308E" w:rsidP="003C2259">
            <w:pPr>
              <w:jc w:val="center"/>
              <w:rPr>
                <w:lang w:eastAsia="lt-LT"/>
              </w:rPr>
            </w:pPr>
            <w:r>
              <w:rPr>
                <w:lang w:eastAsia="lt-LT"/>
              </w:rPr>
              <w:t>-</w:t>
            </w:r>
          </w:p>
        </w:tc>
        <w:tc>
          <w:tcPr>
            <w:tcW w:w="2268" w:type="dxa"/>
            <w:tcBorders>
              <w:top w:val="single" w:sz="4" w:space="0" w:color="auto"/>
              <w:left w:val="single" w:sz="4" w:space="0" w:color="auto"/>
              <w:bottom w:val="single" w:sz="4" w:space="0" w:color="auto"/>
              <w:right w:val="single" w:sz="4" w:space="0" w:color="auto"/>
            </w:tcBorders>
          </w:tcPr>
          <w:p w:rsidR="00E3308E" w:rsidRDefault="00E3308E">
            <w:pPr>
              <w:jc w:val="both"/>
              <w:rPr>
                <w:lang w:eastAsia="lt-LT"/>
              </w:rPr>
            </w:pPr>
          </w:p>
        </w:tc>
      </w:tr>
      <w:tr w:rsidR="00E3308E" w:rsidTr="00AF5F68">
        <w:trPr>
          <w:trHeight w:val="453"/>
        </w:trPr>
        <w:tc>
          <w:tcPr>
            <w:tcW w:w="2410" w:type="dxa"/>
            <w:tcBorders>
              <w:top w:val="single" w:sz="4" w:space="0" w:color="auto"/>
              <w:left w:val="single" w:sz="4" w:space="0" w:color="auto"/>
              <w:bottom w:val="single" w:sz="4" w:space="0" w:color="auto"/>
              <w:right w:val="single" w:sz="4" w:space="0" w:color="auto"/>
            </w:tcBorders>
            <w:hideMark/>
          </w:tcPr>
          <w:p w:rsidR="00E3308E" w:rsidRDefault="00E3308E">
            <w:pPr>
              <w:jc w:val="both"/>
              <w:rPr>
                <w:lang w:eastAsia="lt-LT"/>
              </w:rPr>
            </w:pPr>
            <w:r>
              <w:rPr>
                <w:lang w:eastAsia="lt-LT"/>
              </w:rPr>
              <w:t>Projektų finansavimas (ES, VB, SB)</w:t>
            </w:r>
          </w:p>
        </w:tc>
        <w:tc>
          <w:tcPr>
            <w:tcW w:w="1559"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16,1</w:t>
            </w:r>
          </w:p>
        </w:tc>
        <w:tc>
          <w:tcPr>
            <w:tcW w:w="1560"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16,1</w:t>
            </w:r>
          </w:p>
        </w:tc>
        <w:tc>
          <w:tcPr>
            <w:tcW w:w="1842"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val="en-US" w:eastAsia="lt-LT"/>
              </w:rPr>
            </w:pPr>
            <w:r>
              <w:rPr>
                <w:lang w:eastAsia="lt-LT"/>
              </w:rPr>
              <w:t>100 %</w:t>
            </w:r>
          </w:p>
        </w:tc>
        <w:tc>
          <w:tcPr>
            <w:tcW w:w="2268" w:type="dxa"/>
            <w:tcBorders>
              <w:top w:val="single" w:sz="4" w:space="0" w:color="auto"/>
              <w:left w:val="single" w:sz="4" w:space="0" w:color="auto"/>
              <w:bottom w:val="single" w:sz="4" w:space="0" w:color="auto"/>
              <w:right w:val="single" w:sz="4" w:space="0" w:color="auto"/>
            </w:tcBorders>
            <w:hideMark/>
          </w:tcPr>
          <w:p w:rsidR="00E3308E" w:rsidRDefault="00E3308E">
            <w:pPr>
              <w:jc w:val="both"/>
              <w:rPr>
                <w:lang w:eastAsia="lt-LT"/>
              </w:rPr>
            </w:pPr>
          </w:p>
        </w:tc>
      </w:tr>
      <w:tr w:rsidR="00E3308E" w:rsidTr="00AF5F68">
        <w:trPr>
          <w:trHeight w:val="461"/>
        </w:trPr>
        <w:tc>
          <w:tcPr>
            <w:tcW w:w="2410" w:type="dxa"/>
            <w:tcBorders>
              <w:top w:val="single" w:sz="4" w:space="0" w:color="auto"/>
              <w:left w:val="single" w:sz="4" w:space="0" w:color="auto"/>
              <w:bottom w:val="single" w:sz="4" w:space="0" w:color="auto"/>
              <w:right w:val="single" w:sz="4" w:space="0" w:color="auto"/>
            </w:tcBorders>
            <w:hideMark/>
          </w:tcPr>
          <w:p w:rsidR="00E3308E" w:rsidRDefault="00E3308E">
            <w:pPr>
              <w:jc w:val="both"/>
              <w:rPr>
                <w:lang w:eastAsia="lt-LT"/>
              </w:rPr>
            </w:pPr>
            <w:r>
              <w:rPr>
                <w:lang w:eastAsia="lt-LT"/>
              </w:rPr>
              <w:t>Kitos lėšos (parama 1,2 % GPM ir kt.)</w:t>
            </w:r>
          </w:p>
        </w:tc>
        <w:tc>
          <w:tcPr>
            <w:tcW w:w="1559"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2,7</w:t>
            </w:r>
          </w:p>
        </w:tc>
        <w:tc>
          <w:tcPr>
            <w:tcW w:w="1560"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2,7</w:t>
            </w:r>
          </w:p>
        </w:tc>
        <w:tc>
          <w:tcPr>
            <w:tcW w:w="1842"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 xml:space="preserve">100 </w:t>
            </w:r>
            <w:r>
              <w:rPr>
                <w:lang w:val="en-US" w:eastAsia="lt-LT"/>
              </w:rPr>
              <w:t>%</w:t>
            </w:r>
          </w:p>
        </w:tc>
        <w:tc>
          <w:tcPr>
            <w:tcW w:w="2268" w:type="dxa"/>
            <w:tcBorders>
              <w:top w:val="single" w:sz="4" w:space="0" w:color="auto"/>
              <w:left w:val="single" w:sz="4" w:space="0" w:color="auto"/>
              <w:bottom w:val="single" w:sz="4" w:space="0" w:color="auto"/>
              <w:right w:val="single" w:sz="4" w:space="0" w:color="auto"/>
            </w:tcBorders>
            <w:hideMark/>
          </w:tcPr>
          <w:p w:rsidR="00E3308E" w:rsidRDefault="00E3308E">
            <w:pPr>
              <w:jc w:val="both"/>
              <w:rPr>
                <w:lang w:eastAsia="lt-LT"/>
              </w:rPr>
            </w:pPr>
          </w:p>
        </w:tc>
      </w:tr>
      <w:tr w:rsidR="00E3308E" w:rsidTr="00AF5F68">
        <w:trPr>
          <w:trHeight w:val="70"/>
        </w:trPr>
        <w:tc>
          <w:tcPr>
            <w:tcW w:w="2410" w:type="dxa"/>
            <w:tcBorders>
              <w:top w:val="single" w:sz="4" w:space="0" w:color="auto"/>
              <w:left w:val="single" w:sz="4" w:space="0" w:color="auto"/>
              <w:bottom w:val="single" w:sz="4" w:space="0" w:color="auto"/>
              <w:right w:val="single" w:sz="4" w:space="0" w:color="auto"/>
            </w:tcBorders>
            <w:hideMark/>
          </w:tcPr>
          <w:p w:rsidR="00E3308E" w:rsidRDefault="00E3308E">
            <w:pPr>
              <w:jc w:val="both"/>
              <w:rPr>
                <w:lang w:eastAsia="lt-LT"/>
              </w:rPr>
            </w:pPr>
            <w:r>
              <w:rPr>
                <w:lang w:eastAsia="lt-LT"/>
              </w:rPr>
              <w:t>Iš viso</w:t>
            </w:r>
          </w:p>
        </w:tc>
        <w:tc>
          <w:tcPr>
            <w:tcW w:w="1559"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1490,4</w:t>
            </w:r>
          </w:p>
        </w:tc>
        <w:tc>
          <w:tcPr>
            <w:tcW w:w="1560"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eastAsia="lt-LT"/>
              </w:rPr>
            </w:pPr>
            <w:r>
              <w:rPr>
                <w:lang w:eastAsia="lt-LT"/>
              </w:rPr>
              <w:t>1472,3</w:t>
            </w:r>
          </w:p>
        </w:tc>
        <w:tc>
          <w:tcPr>
            <w:tcW w:w="1842" w:type="dxa"/>
            <w:tcBorders>
              <w:top w:val="single" w:sz="4" w:space="0" w:color="auto"/>
              <w:left w:val="single" w:sz="4" w:space="0" w:color="auto"/>
              <w:bottom w:val="single" w:sz="4" w:space="0" w:color="auto"/>
              <w:right w:val="single" w:sz="4" w:space="0" w:color="auto"/>
            </w:tcBorders>
            <w:hideMark/>
          </w:tcPr>
          <w:p w:rsidR="00E3308E" w:rsidRDefault="00E3308E">
            <w:pPr>
              <w:jc w:val="center"/>
              <w:rPr>
                <w:lang w:val="en-US" w:eastAsia="lt-LT"/>
              </w:rPr>
            </w:pPr>
            <w:r>
              <w:rPr>
                <w:lang w:eastAsia="lt-LT"/>
              </w:rPr>
              <w:t>98,8</w:t>
            </w:r>
            <w:r>
              <w:rPr>
                <w:lang w:val="en-US" w:eastAsia="lt-LT"/>
              </w:rPr>
              <w:t>%</w:t>
            </w:r>
          </w:p>
        </w:tc>
        <w:tc>
          <w:tcPr>
            <w:tcW w:w="2268" w:type="dxa"/>
            <w:tcBorders>
              <w:top w:val="single" w:sz="4" w:space="0" w:color="auto"/>
              <w:left w:val="single" w:sz="4" w:space="0" w:color="auto"/>
              <w:bottom w:val="single" w:sz="4" w:space="0" w:color="auto"/>
              <w:right w:val="single" w:sz="4" w:space="0" w:color="auto"/>
            </w:tcBorders>
          </w:tcPr>
          <w:p w:rsidR="00E3308E" w:rsidRDefault="00E3308E">
            <w:pPr>
              <w:jc w:val="both"/>
              <w:rPr>
                <w:lang w:eastAsia="lt-LT"/>
              </w:rPr>
            </w:pPr>
          </w:p>
        </w:tc>
      </w:tr>
      <w:tr w:rsidR="00E3308E" w:rsidTr="00AF5F68">
        <w:trPr>
          <w:trHeight w:val="70"/>
        </w:trPr>
        <w:tc>
          <w:tcPr>
            <w:tcW w:w="5529" w:type="dxa"/>
            <w:gridSpan w:val="3"/>
            <w:tcBorders>
              <w:top w:val="single" w:sz="4" w:space="0" w:color="auto"/>
              <w:left w:val="single" w:sz="4" w:space="0" w:color="auto"/>
              <w:bottom w:val="single" w:sz="4" w:space="0" w:color="auto"/>
              <w:right w:val="single" w:sz="4" w:space="0" w:color="auto"/>
            </w:tcBorders>
            <w:hideMark/>
          </w:tcPr>
          <w:p w:rsidR="00E3308E" w:rsidRDefault="00E3308E">
            <w:pPr>
              <w:jc w:val="both"/>
              <w:rPr>
                <w:i/>
                <w:lang w:eastAsia="lt-LT"/>
              </w:rPr>
            </w:pPr>
            <w:r>
              <w:rPr>
                <w:lang w:eastAsia="lt-LT"/>
              </w:rPr>
              <w:t>Kreditinis įsiskolinimas (pagal visus finansavimo šaltinius) 2023 m. sausio 1 d</w:t>
            </w:r>
            <w:r>
              <w:rPr>
                <w:i/>
                <w:lang w:eastAsia="lt-LT"/>
              </w:rPr>
              <w:t xml:space="preserve">. </w:t>
            </w:r>
          </w:p>
        </w:tc>
        <w:tc>
          <w:tcPr>
            <w:tcW w:w="1842" w:type="dxa"/>
            <w:tcBorders>
              <w:top w:val="single" w:sz="4" w:space="0" w:color="auto"/>
              <w:left w:val="single" w:sz="4" w:space="0" w:color="auto"/>
              <w:bottom w:val="single" w:sz="4" w:space="0" w:color="auto"/>
              <w:right w:val="single" w:sz="4" w:space="0" w:color="auto"/>
            </w:tcBorders>
            <w:hideMark/>
          </w:tcPr>
          <w:p w:rsidR="00E3308E" w:rsidRDefault="003C2259">
            <w:pPr>
              <w:jc w:val="center"/>
              <w:rPr>
                <w:lang w:eastAsia="lt-LT"/>
              </w:rPr>
            </w:pPr>
            <w:r>
              <w:rPr>
                <w:lang w:eastAsia="lt-LT"/>
              </w:rPr>
              <w:t>–</w:t>
            </w:r>
          </w:p>
        </w:tc>
        <w:tc>
          <w:tcPr>
            <w:tcW w:w="2268" w:type="dxa"/>
            <w:tcBorders>
              <w:top w:val="single" w:sz="4" w:space="0" w:color="auto"/>
              <w:left w:val="single" w:sz="4" w:space="0" w:color="auto"/>
              <w:bottom w:val="single" w:sz="4" w:space="0" w:color="auto"/>
              <w:right w:val="single" w:sz="4" w:space="0" w:color="auto"/>
            </w:tcBorders>
          </w:tcPr>
          <w:p w:rsidR="00E3308E" w:rsidRDefault="00E3308E">
            <w:pPr>
              <w:rPr>
                <w:lang w:eastAsia="lt-LT"/>
              </w:rPr>
            </w:pPr>
          </w:p>
        </w:tc>
      </w:tr>
    </w:tbl>
    <w:p w:rsidR="00E3308E" w:rsidRDefault="00E3308E" w:rsidP="00E3308E">
      <w:pPr>
        <w:rPr>
          <w:rFonts w:eastAsia="Calibri"/>
          <w:lang w:eastAsia="lt-LT"/>
        </w:rPr>
      </w:pPr>
      <w:r>
        <w:rPr>
          <w:lang w:eastAsia="lt-LT"/>
        </w:rPr>
        <w:t>* Neįtraukta į skiltį „iš viso“.</w:t>
      </w:r>
    </w:p>
    <w:p w:rsidR="00E3308E" w:rsidRDefault="00E3308E" w:rsidP="00E3308E">
      <w:pPr>
        <w:ind w:firstLine="576"/>
        <w:jc w:val="both"/>
        <w:rPr>
          <w:lang w:eastAsia="lt-LT"/>
        </w:rPr>
      </w:pPr>
      <w:r>
        <w:rPr>
          <w:lang w:eastAsia="lt-LT"/>
        </w:rPr>
        <w:t xml:space="preserve">Patikros. </w:t>
      </w:r>
      <w:r w:rsidR="005232B5" w:rsidRPr="007C5CB9">
        <w:rPr>
          <w:szCs w:val="20"/>
        </w:rPr>
        <w:t>Valstybinės maisto ir veterinarijos Klaipėdos departamento</w:t>
      </w:r>
      <w:r w:rsidR="005232B5">
        <w:rPr>
          <w:lang w:eastAsia="lt-LT"/>
        </w:rPr>
        <w:t xml:space="preserve"> </w:t>
      </w:r>
      <w:r>
        <w:rPr>
          <w:lang w:eastAsia="lt-LT"/>
        </w:rPr>
        <w:t>patikrinimas</w:t>
      </w:r>
      <w:r w:rsidR="00AF5F68">
        <w:rPr>
          <w:lang w:eastAsia="lt-LT"/>
        </w:rPr>
        <w:t xml:space="preserve">. </w:t>
      </w:r>
      <w:r w:rsidR="00B5782C">
        <w:rPr>
          <w:lang w:eastAsia="lt-LT"/>
        </w:rPr>
        <w:t>P</w:t>
      </w:r>
      <w:r>
        <w:rPr>
          <w:lang w:eastAsia="lt-LT"/>
        </w:rPr>
        <w:t>ažeidimų nenustatyta (2022-04-13 aktas Nr. 37VMĮP-1268). Klaipėdos priešgaisrinės gelbėjimo valdybos atstovas vykdė Įstaigos teritorijos ir patalpų planin</w:t>
      </w:r>
      <w:r w:rsidR="005232B5">
        <w:rPr>
          <w:lang w:eastAsia="lt-LT"/>
        </w:rPr>
        <w:t>ę</w:t>
      </w:r>
      <w:r>
        <w:rPr>
          <w:lang w:eastAsia="lt-LT"/>
        </w:rPr>
        <w:t xml:space="preserve"> priešgaisrinę techninę patikrą, pažeidimų nenustatė. UAB „Inspectum“ atliko vaikų žaidimų aikštelės metinę kontrolę (ataskaita Nr. P2127-93198-1-2021). Nustatyta, kad naudojama vaikų žaidimų įranga atitinka Lietuvos standartus ir Higienos reikalavimus (LST EN1176-1,2,3,6:2018 ir LST EN1176-5:2008). </w:t>
      </w:r>
      <w:r w:rsidR="005232B5" w:rsidRPr="00DB29AD">
        <w:rPr>
          <w:rFonts w:eastAsiaTheme="minorHAnsi"/>
        </w:rPr>
        <w:t>Nacionalinio visuomenės sveikatos centro prie Sveikatos apsaugos ministerijos Klaipėdos departament</w:t>
      </w:r>
      <w:r w:rsidR="005232B5">
        <w:rPr>
          <w:rFonts w:eastAsiaTheme="minorHAnsi"/>
        </w:rPr>
        <w:t>o</w:t>
      </w:r>
      <w:r w:rsidR="005232B5">
        <w:rPr>
          <w:lang w:eastAsia="lt-LT"/>
        </w:rPr>
        <w:t xml:space="preserve"> </w:t>
      </w:r>
      <w:r>
        <w:rPr>
          <w:lang w:eastAsia="lt-LT"/>
        </w:rPr>
        <w:t>Visuomenės sveikatos saugos kontrolės skyriaus specialistai patikros metu nustatė, jog Įstaigoje yra vienu vaiku daugiau, nei numatoma HN 75:2016. Grįžtamosios kontrolės metu 2023-01-12 vaikų skaičius atitiko reikalavimus.</w:t>
      </w:r>
    </w:p>
    <w:p w:rsidR="00E3308E" w:rsidRDefault="00E3308E" w:rsidP="00E3308E">
      <w:pPr>
        <w:ind w:firstLine="573"/>
        <w:jc w:val="both"/>
        <w:rPr>
          <w:lang w:eastAsia="lt-LT"/>
        </w:rPr>
      </w:pPr>
      <w:r>
        <w:t xml:space="preserve">Problemos. Pastato sienos drėksta, būtinas dviejų korpusų lietaus stovų keitimas. </w:t>
      </w:r>
    </w:p>
    <w:p w:rsidR="00E3308E" w:rsidRDefault="00E3308E" w:rsidP="005232B5">
      <w:pPr>
        <w:ind w:firstLine="567"/>
        <w:jc w:val="both"/>
      </w:pPr>
      <w:r>
        <w:t>2023 metais išlieka tęstinis veiklos prioritetas – veiksmingos švietimo pagalbos vaikams užtikrinimas, sudarant tinkamas sąlygas ugdytis kiekvienam vaikui.</w:t>
      </w:r>
    </w:p>
    <w:p w:rsidR="00E32607" w:rsidRDefault="00E32607" w:rsidP="00E3308E"/>
    <w:p w:rsidR="00E32607" w:rsidRDefault="00E32607" w:rsidP="00E3308E"/>
    <w:p w:rsidR="00F555F2" w:rsidRDefault="00F555F2" w:rsidP="00E3308E">
      <w:r>
        <w:t>Direktorė</w:t>
      </w:r>
      <w:r>
        <w:tab/>
      </w:r>
      <w:r>
        <w:tab/>
      </w:r>
      <w:r>
        <w:tab/>
      </w:r>
      <w:r>
        <w:tab/>
      </w:r>
      <w:r>
        <w:tab/>
        <w:t xml:space="preserve">   </w:t>
      </w:r>
      <w:r w:rsidR="00E3308E">
        <w:t xml:space="preserve">           Vida Martinkienė </w:t>
      </w: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708A1">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B69E1"/>
    <w:multiLevelType w:val="hybridMultilevel"/>
    <w:tmpl w:val="F6A6CB9C"/>
    <w:lvl w:ilvl="0" w:tplc="575E07F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3670B"/>
    <w:rsid w:val="0006079E"/>
    <w:rsid w:val="0015049A"/>
    <w:rsid w:val="0019615E"/>
    <w:rsid w:val="0034183E"/>
    <w:rsid w:val="003C2259"/>
    <w:rsid w:val="004476DD"/>
    <w:rsid w:val="004C067A"/>
    <w:rsid w:val="005232B5"/>
    <w:rsid w:val="005708E0"/>
    <w:rsid w:val="00585ED0"/>
    <w:rsid w:val="00597EE8"/>
    <w:rsid w:val="005B434A"/>
    <w:rsid w:val="005F495C"/>
    <w:rsid w:val="00616F5A"/>
    <w:rsid w:val="00664238"/>
    <w:rsid w:val="00677042"/>
    <w:rsid w:val="007A24A6"/>
    <w:rsid w:val="007B1666"/>
    <w:rsid w:val="00832CC9"/>
    <w:rsid w:val="008354D5"/>
    <w:rsid w:val="00865C91"/>
    <w:rsid w:val="008E6E82"/>
    <w:rsid w:val="00A339BB"/>
    <w:rsid w:val="00AF5F68"/>
    <w:rsid w:val="00AF7D08"/>
    <w:rsid w:val="00B5782C"/>
    <w:rsid w:val="00B750B6"/>
    <w:rsid w:val="00C57681"/>
    <w:rsid w:val="00C708A1"/>
    <w:rsid w:val="00CA4D3B"/>
    <w:rsid w:val="00D42B72"/>
    <w:rsid w:val="00D57F27"/>
    <w:rsid w:val="00DC08C4"/>
    <w:rsid w:val="00DD319C"/>
    <w:rsid w:val="00DD75D8"/>
    <w:rsid w:val="00E027B1"/>
    <w:rsid w:val="00E32607"/>
    <w:rsid w:val="00E3308E"/>
    <w:rsid w:val="00E33871"/>
    <w:rsid w:val="00E35CFB"/>
    <w:rsid w:val="00E56A73"/>
    <w:rsid w:val="00EF03C0"/>
    <w:rsid w:val="00F1275A"/>
    <w:rsid w:val="00F555F2"/>
    <w:rsid w:val="00F72A1E"/>
    <w:rsid w:val="00FC4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C44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08E0"/>
    <w:pPr>
      <w:ind w:left="720"/>
      <w:contextualSpacing/>
    </w:pPr>
  </w:style>
  <w:style w:type="character" w:customStyle="1" w:styleId="Numatytasispastraiposriftas1">
    <w:name w:val="Numatytasis pastraipos šriftas1"/>
    <w:rsid w:val="00E027B1"/>
  </w:style>
  <w:style w:type="character" w:customStyle="1" w:styleId="fontstyle01">
    <w:name w:val="fontstyle01"/>
    <w:rsid w:val="00E027B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00487431">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6315</Words>
  <Characters>3601</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2023-05-02T10:51:00Z</dcterms:created>
  <dcterms:modified xsi:type="dcterms:W3CDTF">2023-05-04T06:02:00Z</dcterms:modified>
</cp:coreProperties>
</file>